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Times New Roman" w:hAnsi="Times New Roman"/>
          <w:b/>
          <w:bCs/>
          <w:sz w:val="32"/>
          <w:szCs w:val="24"/>
        </w:rPr>
      </w:pPr>
      <w:r>
        <w:rPr>
          <w:rFonts w:ascii="Times New Roman" w:hAnsi="Times New Roman"/>
          <w:b/>
          <w:bCs/>
          <w:sz w:val="32"/>
          <w:szCs w:val="24"/>
        </w:rPr>
        <w:t>Stanovisko hlavného kontrolóra k závere</w:t>
      </w:r>
      <w:r>
        <w:rPr>
          <w:rFonts w:ascii="Times New Roman" w:hAnsi="Times New Roman"/>
          <w:b/>
          <w:sz w:val="32"/>
          <w:szCs w:val="24"/>
        </w:rPr>
        <w:t>č</w:t>
      </w:r>
      <w:r>
        <w:rPr>
          <w:rFonts w:ascii="Times New Roman" w:hAnsi="Times New Roman"/>
          <w:b/>
          <w:bCs/>
          <w:sz w:val="32"/>
          <w:szCs w:val="24"/>
        </w:rPr>
        <w:t>nému ú</w:t>
      </w:r>
      <w:r>
        <w:rPr>
          <w:rFonts w:ascii="Times New Roman" w:hAnsi="Times New Roman"/>
          <w:b/>
          <w:sz w:val="32"/>
          <w:szCs w:val="24"/>
        </w:rPr>
        <w:t>č</w:t>
      </w:r>
      <w:r>
        <w:rPr>
          <w:rFonts w:ascii="Times New Roman" w:hAnsi="Times New Roman"/>
          <w:b/>
          <w:bCs/>
          <w:sz w:val="32"/>
          <w:szCs w:val="24"/>
        </w:rPr>
        <w:t>tu obce Pečenice za rok 202</w:t>
      </w:r>
      <w:r>
        <w:rPr>
          <w:rFonts w:ascii="Times New Roman" w:hAnsi="Times New Roman"/>
          <w:b/>
          <w:bCs/>
          <w:sz w:val="32"/>
          <w:szCs w:val="24"/>
        </w:rPr>
        <w:t>5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bCs/>
          <w:sz w:val="32"/>
          <w:szCs w:val="24"/>
        </w:rPr>
      </w:pPr>
      <w:r>
        <w:rPr>
          <w:rFonts w:ascii="Times New Roman" w:hAnsi="Times New Roman"/>
          <w:b/>
          <w:bCs/>
          <w:sz w:val="32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zmysle ustanovenia § 18f ods. 1 písm. c) zákona č. 369/1990 Zb. o obecnom zriadení v znení neskorších predpisov (ďalej len zákon o obecnom zriadení) predkladám obecnému zastupiteľstvu odborné stanovisko k záverečnému účtu obce Pečenice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Stanovisko som spracovala na základe predloženej účtovnej závierky obce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súvahy k 31.12.202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výkazu ziskov a strát, poznámok k účtovnej závierke, ďalších podkladov a doplňujúcich údajov vyžiadaných od pracovníkov Obecného úradu ako aj Správy nezávislého audítora o overení účtovnej závierky zostavenej k 31.12.202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 VÝCHODISKÁ SPRACOVANIA STANOVISKA K NÁVRHU ZÁVERE</w:t>
      </w:r>
      <w:r>
        <w:rPr>
          <w:rFonts w:ascii="Times New Roman" w:hAnsi="Times New Roman"/>
          <w:b/>
          <w:sz w:val="24"/>
          <w:szCs w:val="24"/>
        </w:rPr>
        <w:t>Č</w:t>
      </w:r>
      <w:r>
        <w:rPr>
          <w:rFonts w:ascii="Times New Roman" w:hAnsi="Times New Roman"/>
          <w:b/>
          <w:bCs/>
          <w:sz w:val="24"/>
          <w:szCs w:val="24"/>
        </w:rPr>
        <w:t>NÉHO ÚČTU OBCE</w:t>
      </w:r>
    </w:p>
    <w:p>
      <w:pPr>
        <w:pStyle w:val="Normal"/>
        <w:spacing w:lineRule="auto" w:line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1.1 Súlad so všeobecne záväznými právnymi predpismi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Návrh záverečného účtu obce Pečenice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(ďalej len „návrh záverečného účtu“) je spracovaný v súlade so zákonom č. 583/2004 Z. z. o rozpočtových pravidlách územnej samosprávy v znení neskorších predpisov (ďalej len zákon o rozpočtových pravidlách územnej samosprávy“) . Návrh záverečného úctu zohľadňuje aj ustanovenia zákona č. 523/2004 Z. z. o rozpočtových pravidlách verejnej správy v znení neskorších predpisov (Ďalej len zákon o rozpočtových pravidlách verejnej správy) a zákona č. 597/2003 Z. z. o financovaní základných škôl, stredných škôl a školských zariadení v znení neskorších predpisov ako aj ostatných súvisiacich právnych noriem.</w:t>
      </w:r>
    </w:p>
    <w:p>
      <w:pPr>
        <w:pStyle w:val="Normal"/>
        <w:spacing w:lineRule="auto" w:line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1.2 Dodržanie informa</w:t>
      </w:r>
      <w:r>
        <w:rPr>
          <w:rFonts w:ascii="Times New Roman" w:hAnsi="Times New Roman"/>
          <w:sz w:val="24"/>
          <w:szCs w:val="24"/>
        </w:rPr>
        <w:t>č</w:t>
      </w:r>
      <w:r>
        <w:rPr>
          <w:rFonts w:ascii="Times New Roman" w:hAnsi="Times New Roman"/>
          <w:i/>
          <w:iCs/>
          <w:sz w:val="24"/>
          <w:szCs w:val="24"/>
        </w:rPr>
        <w:t>nej povinnosti zo strany obce Pečenice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Návrh záverečného účtu bol verejne sprístupnený na úradnej tabuli obce v zákonom stanovenej lehote najmenej 15 dní pred jeho schválením v súlade s § 9 ods. 2 zákona c. 369/1990 Zb. o obecnom zriadení a s § 16 ods. 9 zákona o rozpočtových pravidlách územnej samosprávy.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1.3 Dodržanie povinnosti auditu zo strany obce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Obec má v zmysle § 16 ods. 3 zákona o rozpočtových pravidlách územnej samosprávy, povinnosť dať overiť účtovnú závierku a rozpočtové hospodárenie podľa § 9 ods. 4 zákona o obecnom zriadení, audítorovi.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Ku dňu predloženia návrhu záverečného účtu obecnému zastupiteľstvu, audit účtovnej závierky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ešte nebol vykonaný.</w:t>
      </w:r>
    </w:p>
    <w:p>
      <w:pPr>
        <w:pStyle w:val="Normal"/>
        <w:spacing w:lineRule="auto" w:line="36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1.4 Metodická správnos</w:t>
      </w:r>
      <w:r>
        <w:rPr>
          <w:rFonts w:ascii="Times New Roman" w:hAnsi="Times New Roman"/>
          <w:sz w:val="24"/>
          <w:szCs w:val="24"/>
        </w:rPr>
        <w:t xml:space="preserve">ť </w:t>
      </w:r>
      <w:r>
        <w:rPr>
          <w:rFonts w:ascii="Times New Roman" w:hAnsi="Times New Roman"/>
          <w:i/>
          <w:iCs/>
          <w:sz w:val="24"/>
          <w:szCs w:val="24"/>
        </w:rPr>
        <w:t>predloženého návrhu rozpo</w:t>
      </w:r>
      <w:r>
        <w:rPr>
          <w:rFonts w:ascii="Times New Roman" w:hAnsi="Times New Roman"/>
          <w:sz w:val="24"/>
          <w:szCs w:val="24"/>
        </w:rPr>
        <w:t>č</w:t>
      </w:r>
      <w:r>
        <w:rPr>
          <w:rFonts w:ascii="Times New Roman" w:hAnsi="Times New Roman"/>
          <w:i/>
          <w:iCs/>
          <w:sz w:val="24"/>
          <w:szCs w:val="24"/>
        </w:rPr>
        <w:t>tu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Predložený návrh záverečného účtu bol spracovaný podľa § 16 zákona o rozpočtových pravidlách územnej samosprávy a obsahuje predpísané náležitosti.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SPRACOVANIE ZÁVERE</w:t>
      </w:r>
      <w:r>
        <w:rPr>
          <w:rFonts w:ascii="Times New Roman" w:hAnsi="Times New Roman"/>
          <w:b/>
          <w:sz w:val="24"/>
          <w:szCs w:val="24"/>
        </w:rPr>
        <w:t>Č</w:t>
      </w:r>
      <w:r>
        <w:rPr>
          <w:rFonts w:ascii="Times New Roman" w:hAnsi="Times New Roman"/>
          <w:b/>
          <w:bCs/>
          <w:sz w:val="24"/>
          <w:szCs w:val="24"/>
        </w:rPr>
        <w:t>NÉHO ÚČTU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 postupovala podľa § 16 ods. 1 zákona o rozpočtových pravidlách územnej samosprávy a po skončení rozpočtového roka údaje o rozpočtovom hospodárení súhrnne spracovala do záverečného účtu obce. V súlade s § 16 ods. 2 citovaného zákona finančne usporiadala svoje hospodárenie. Ďalej usporiadala finančné vzťahy k zriadeným alebo založeným právnickým osobám, fyzickým osobám – podnikateľom a právnickým osobám, ktorým poskytla finančné prostriedky svojho rozpočtu, k štátnemu rozpočtu, štátnym fondom, rozpočtom iných obcí a k rozpočtom VÚC.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Predložený návrh záverečného účtu obce obsahuje povinné náležitosti podľa § 16 ods. 5 zákona o rozpočtových pravidlách územnej samosprávy: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Rozpočet obce na rok 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Rozbor plnenia príjmov za rok 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Rozbor čerpania výdavkov za rok 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Prebytok/schodok rozpočtového hospodárenia za rok 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Tvorba a použitie prostriedkov fondov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Bilancia aktív a pasív k 31.12.202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Prehľad o stave a vývoji dlhu k 31.12.202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Hospodárenie príspevkových organizácií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Prehľad o poskytnutých dotáciách právnickým osobám a fyzickým osobám podnikateľom podľa §7 ods. 4 zákona č. 583/2004 Z.z.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Údaje o nákladoch a výnosoch podnikateľskej činnosti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Finančné usporiadanie finančných vzťahov voči: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zriadeným a založeným právnickým osobám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štátnemu rozpočtu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štátnym fondom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rozpočtom iných obcí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rozpočtom VÚC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Hodnotenie plnenia programov</w:t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ÚDAJE O PLNENÍ ROZPO</w:t>
      </w:r>
      <w:r>
        <w:rPr>
          <w:rFonts w:ascii="Times New Roman" w:hAnsi="Times New Roman"/>
          <w:b/>
          <w:sz w:val="24"/>
          <w:szCs w:val="24"/>
        </w:rPr>
        <w:t>Č</w:t>
      </w:r>
      <w:r>
        <w:rPr>
          <w:rFonts w:ascii="Times New Roman" w:hAnsi="Times New Roman"/>
          <w:b/>
          <w:bCs/>
          <w:sz w:val="24"/>
          <w:szCs w:val="24"/>
        </w:rPr>
        <w:t>TU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Finančné hospodárenie obce Pečenice sa riadilo rozpočtom, ktorý bol schválený uznesením obecného zastupiteľstva. Rozpočet bol schválený </w:t>
      </w:r>
      <w:r>
        <w:rPr>
          <w:rFonts w:ascii="Times New Roman" w:hAnsi="Times New Roman"/>
          <w:b/>
          <w:bCs/>
          <w:sz w:val="24"/>
          <w:szCs w:val="24"/>
        </w:rPr>
        <w:t xml:space="preserve">ako vyrovnaný </w:t>
      </w:r>
      <w:r>
        <w:rPr>
          <w:rFonts w:ascii="Times New Roman" w:hAnsi="Times New Roman"/>
          <w:sz w:val="24"/>
          <w:szCs w:val="24"/>
        </w:rPr>
        <w:t>čím boli naplnené podmienky § 10 ods. 7 zákona o rozpočtových pravidlách územnej samosprávy. Rozpočet na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bol zostavený v zmysle § 10 zákona o rozpočtových pravidlách územnej samosprávy a jeho vnútorné členenie je v súlade s týmto zákonom. Obsahuje bežný a kapitálový rozpočet v členení na príjmy, výdavky a finančné operácie. Rozpočet bol počas roka upravený jedenkrát. Údaje o plnení rozpočtu boli v členení podľa §10 ods. 3 zákona rozpočtových pravidlách územnej samosprávy.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Uvádzam prehľad súhrnných údajov o rozpočte a jeho plnení v € a v percentách k 31.12.202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8560" w:type="dxa"/>
        <w:jc w:val="left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2919"/>
        <w:gridCol w:w="1361"/>
        <w:gridCol w:w="1520"/>
        <w:gridCol w:w="1359"/>
        <w:gridCol w:w="1401"/>
      </w:tblGrid>
      <w:tr>
        <w:trPr>
          <w:trHeight w:val="624" w:hRule="atLeast"/>
        </w:trPr>
        <w:tc>
          <w:tcPr>
            <w:tcW w:w="2919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Druh príjmu:</w:t>
            </w:r>
          </w:p>
        </w:tc>
        <w:tc>
          <w:tcPr>
            <w:tcW w:w="1361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Rozpočet v €</w:t>
            </w:r>
          </w:p>
        </w:tc>
        <w:tc>
          <w:tcPr>
            <w:tcW w:w="1520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Upravený rozpočet v €</w:t>
            </w:r>
          </w:p>
        </w:tc>
        <w:tc>
          <w:tcPr>
            <w:tcW w:w="1359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Plnenie v €</w:t>
            </w:r>
          </w:p>
        </w:tc>
        <w:tc>
          <w:tcPr>
            <w:tcW w:w="1401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Plnenie v %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Bežné príjmy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58 314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82 712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6 888,07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83,29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Bežné výdavky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53 314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61 900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65 037,79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105,07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Kapitálové príjmy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17 965,13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/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Finančné príjmy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10 000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35 099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35 097,41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100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Kapitálové výdavky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15 000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themeColor="text1"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themeColor="text1" w:val="000000"/>
                <w:sz w:val="24"/>
                <w:szCs w:val="24"/>
                <w:lang w:eastAsia="sk-SK"/>
              </w:rPr>
              <w:t>37 219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34 633,94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99,99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Finančné výdavky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17 966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17 965,13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100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Celkové príjmy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68 314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117 811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121 950,61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103,51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Celkové výdavky</w:t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68 314</w:t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themeColor="text1"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themeColor="text1" w:val="000000"/>
                <w:sz w:val="24"/>
                <w:szCs w:val="24"/>
                <w:lang w:eastAsia="sk-SK"/>
              </w:rPr>
              <w:t>117 085</w:t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117 636,86</w:t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100,47</w:t>
            </w:r>
          </w:p>
        </w:tc>
      </w:tr>
      <w:tr>
        <w:trPr>
          <w:trHeight w:val="312" w:hRule="atLeast"/>
        </w:trPr>
        <w:tc>
          <w:tcPr>
            <w:tcW w:w="291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136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1520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135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14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  <w:bookmarkStart w:id="0" w:name="OLE_LINK1"/>
            <w:bookmarkStart w:id="1" w:name="OLE_LINK1"/>
            <w:bookmarkEnd w:id="1"/>
          </w:p>
        </w:tc>
      </w:tr>
    </w:tbl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BILANCIA AKTÍV A PASÍV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Bilancia aktív a pasív odzrkadľuje stav majetku a majetkové vzťahy obce. Aktíva a pasíva v súvahe sa rovnajú.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Uvádzam v skrátenom prehľade.</w:t>
      </w:r>
    </w:p>
    <w:tbl>
      <w:tblPr>
        <w:tblW w:w="9220" w:type="dxa"/>
        <w:jc w:val="left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4399"/>
        <w:gridCol w:w="2520"/>
        <w:gridCol w:w="2301"/>
      </w:tblGrid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Položka súvahy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Stav k 1.1.202</w:t>
            </w: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5</w:t>
            </w: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v €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Stav k 31.12.202</w:t>
            </w: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5</w:t>
            </w: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v €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Neobežný (hmotný a nehmotný) majetok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254 766,52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282 357,38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Obežný (finančný) majetok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39 692,66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32 564,98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sk-SK"/>
              </w:rPr>
              <w:t>Časové rozlíšenie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sk-SK"/>
              </w:rPr>
              <w:t>273,08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sk-SK"/>
              </w:rPr>
              <w:t>273,08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Majetok spolu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294 732,26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315 195,44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Vlastné imanie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193 895,31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200 975,42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Záväzky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13 367,86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9 858,02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Časové rozlíšenie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87 469,09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104 362</w:t>
            </w:r>
          </w:p>
        </w:tc>
      </w:tr>
      <w:tr>
        <w:trPr>
          <w:trHeight w:val="312" w:hRule="atLeast"/>
        </w:trPr>
        <w:tc>
          <w:tcPr>
            <w:tcW w:w="4399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>Vlastné imanie a záväzky spolu</w:t>
            </w:r>
          </w:p>
        </w:tc>
        <w:tc>
          <w:tcPr>
            <w:tcW w:w="2520" w:type="dxa"/>
            <w:tcBorders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294 732,26</w:t>
            </w:r>
          </w:p>
        </w:tc>
        <w:tc>
          <w:tcPr>
            <w:tcW w:w="2301" w:type="dxa"/>
            <w:tcBorders/>
            <w:shd w:color="auto" w:fill="auto" w:val="clear"/>
            <w:vAlign w:val="bottom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  <w:lang w:eastAsia="sk-SK"/>
              </w:rPr>
              <w:t>315 195,44</w:t>
            </w:r>
          </w:p>
        </w:tc>
      </w:tr>
    </w:tbl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ZAD</w:t>
      </w:r>
      <w:r>
        <w:rPr>
          <w:rFonts w:ascii="Times New Roman" w:hAnsi="Times New Roman"/>
          <w:b/>
          <w:sz w:val="24"/>
          <w:szCs w:val="24"/>
        </w:rPr>
        <w:t>L</w:t>
      </w:r>
      <w:r>
        <w:rPr>
          <w:rFonts w:ascii="Times New Roman" w:hAnsi="Times New Roman"/>
          <w:b/>
          <w:bCs/>
          <w:sz w:val="24"/>
          <w:szCs w:val="24"/>
        </w:rPr>
        <w:t>ŽENOSŤ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 MOŽNOSTI FINANCOVANIA</w:t>
      </w:r>
    </w:p>
    <w:p>
      <w:pPr>
        <w:pStyle w:val="Normal"/>
        <w:spacing w:lineRule="auto" w: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Obec v roku 202</w:t>
      </w:r>
      <w:r>
        <w:rPr>
          <w:rFonts w:ascii="Times New Roman" w:hAnsi="Times New Roman"/>
          <w:bCs/>
          <w:sz w:val="24"/>
          <w:szCs w:val="24"/>
        </w:rPr>
        <w:t>5 prijala úver vo výške 17 965,13€. Finančné prostriedky z úveru boli účelovo viazané a použité na realizáciu projektu „Rekonštrukcia klubovej miestnosti a obecnej knižnice“. Po refundovaní bol úver okamžite jednorázovo splatený.</w:t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 . REZERVNÝ FOND A SOCIÁLNY FOND</w:t>
      </w:r>
    </w:p>
    <w:p>
      <w:pPr>
        <w:pStyle w:val="Normal"/>
        <w:spacing w:lineRule="auto" w:line="360"/>
        <w:jc w:val="both"/>
        <w:rPr>
          <w:rFonts w:ascii="Times New Roman" w:hAnsi="Times New Roman"/>
          <w:color w:themeColor="text1" w:val="000000"/>
          <w:sz w:val="24"/>
          <w:szCs w:val="24"/>
        </w:rPr>
      </w:pPr>
      <w:r>
        <w:rPr>
          <w:rFonts w:ascii="Times New Roman" w:hAnsi="Times New Roman"/>
          <w:color w:themeColor="text1" w:val="000000"/>
          <w:sz w:val="24"/>
          <w:szCs w:val="24"/>
        </w:rPr>
        <w:t>Stav rezervného fondu k 1.1.202</w:t>
      </w:r>
      <w:r>
        <w:rPr>
          <w:rFonts w:ascii="Times New Roman" w:hAnsi="Times New Roman"/>
          <w:color w:themeColor="text1" w:val="000000"/>
          <w:sz w:val="24"/>
          <w:szCs w:val="24"/>
        </w:rPr>
        <w:t>5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 bol </w:t>
      </w:r>
      <w:r>
        <w:rPr>
          <w:rFonts w:ascii="Times New Roman" w:hAnsi="Times New Roman"/>
          <w:color w:themeColor="text1" w:val="000000"/>
          <w:sz w:val="24"/>
          <w:szCs w:val="24"/>
        </w:rPr>
        <w:t>12 710,45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 €.  Prebytok z rozpočtu za uplynulý rok predstavoval </w:t>
      </w:r>
      <w:r>
        <w:rPr>
          <w:rFonts w:ascii="Times New Roman" w:hAnsi="Times New Roman"/>
          <w:color w:themeColor="text1" w:val="000000"/>
          <w:sz w:val="24"/>
          <w:szCs w:val="24"/>
        </w:rPr>
        <w:t>8 040,24</w:t>
      </w:r>
      <w:r>
        <w:rPr>
          <w:rFonts w:ascii="Times New Roman" w:hAnsi="Times New Roman"/>
          <w:color w:themeColor="text1" w:val="000000"/>
          <w:sz w:val="24"/>
          <w:szCs w:val="24"/>
        </w:rPr>
        <w:t>€. V roku 202</w:t>
      </w:r>
      <w:r>
        <w:rPr>
          <w:rFonts w:ascii="Times New Roman" w:hAnsi="Times New Roman"/>
          <w:color w:themeColor="text1" w:val="000000"/>
          <w:sz w:val="24"/>
          <w:szCs w:val="24"/>
        </w:rPr>
        <w:t>5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 bolo schválené čerpanie z rezervného fondu, na 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dofinancovanie rekonštrukcie sedenia, ako súčasť existujúceho amfiteátra, 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vo výške </w:t>
      </w:r>
      <w:r>
        <w:rPr>
          <w:rFonts w:ascii="Times New Roman" w:hAnsi="Times New Roman"/>
          <w:color w:themeColor="text1" w:val="000000"/>
          <w:sz w:val="24"/>
          <w:szCs w:val="24"/>
        </w:rPr>
        <w:t>8 638,78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 €. Konečný zostatok rezervného fondu k 31.12.202</w:t>
      </w:r>
      <w:r>
        <w:rPr>
          <w:rFonts w:ascii="Times New Roman" w:hAnsi="Times New Roman"/>
          <w:color w:themeColor="text1" w:val="000000"/>
          <w:sz w:val="24"/>
          <w:szCs w:val="24"/>
        </w:rPr>
        <w:t>5</w:t>
      </w:r>
      <w:r>
        <w:rPr>
          <w:rFonts w:ascii="Times New Roman" w:hAnsi="Times New Roman"/>
          <w:color w:themeColor="text1" w:val="000000"/>
          <w:sz w:val="24"/>
          <w:szCs w:val="24"/>
        </w:rPr>
        <w:t xml:space="preserve">  je 12 171,91€. Prostriedky rezervného fondu slúžia na pokrytie prípadnej potreby použitia v budúcnosti.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Stav sociálneho fondu (ďalej len SF) bol na začiatku obdobia </w:t>
      </w:r>
      <w:r>
        <w:rPr>
          <w:rFonts w:ascii="Times New Roman" w:hAnsi="Times New Roman"/>
          <w:sz w:val="24"/>
          <w:szCs w:val="24"/>
        </w:rPr>
        <w:t>966,05</w:t>
      </w:r>
      <w:r>
        <w:rPr>
          <w:rFonts w:ascii="Times New Roman" w:hAnsi="Times New Roman"/>
          <w:sz w:val="24"/>
          <w:szCs w:val="24"/>
        </w:rPr>
        <w:t>€. Prídel do SF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bol vytvorený vo výške </w:t>
      </w:r>
      <w:r>
        <w:rPr>
          <w:rFonts w:ascii="Times New Roman" w:hAnsi="Times New Roman"/>
          <w:sz w:val="24"/>
          <w:szCs w:val="24"/>
        </w:rPr>
        <w:t>187,40</w:t>
      </w:r>
      <w:r>
        <w:rPr>
          <w:rFonts w:ascii="Times New Roman" w:hAnsi="Times New Roman"/>
          <w:sz w:val="24"/>
          <w:szCs w:val="24"/>
        </w:rPr>
        <w:t>€. Čerpanie zo sociálneho fondu v roku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, bolo vo výške </w:t>
      </w:r>
      <w:r>
        <w:rPr>
          <w:rFonts w:ascii="Times New Roman" w:hAnsi="Times New Roman"/>
          <w:sz w:val="24"/>
          <w:szCs w:val="24"/>
        </w:rPr>
        <w:t>383,24</w:t>
      </w:r>
      <w:r>
        <w:rPr>
          <w:rFonts w:ascii="Times New Roman" w:hAnsi="Times New Roman"/>
          <w:sz w:val="24"/>
          <w:szCs w:val="24"/>
        </w:rPr>
        <w:t>€. Konečný zostatok sociálneho fondu k 31.12.202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je vo výške </w:t>
      </w:r>
      <w:r>
        <w:rPr>
          <w:rFonts w:ascii="Times New Roman" w:hAnsi="Times New Roman"/>
          <w:sz w:val="24"/>
          <w:szCs w:val="24"/>
        </w:rPr>
        <w:t>770,31</w:t>
      </w:r>
      <w:r>
        <w:rPr>
          <w:rFonts w:ascii="Times New Roman" w:hAnsi="Times New Roman"/>
          <w:sz w:val="24"/>
          <w:szCs w:val="24"/>
        </w:rPr>
        <w:t xml:space="preserve">€.  </w:t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7. OSTATNÉ</w:t>
      </w:r>
    </w:p>
    <w:p>
      <w:pPr>
        <w:pStyle w:val="Normal"/>
        <w:spacing w:lineRule="auto" w: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Údaje o hospodárení príspevkových organizácií, prehľad o poskytnutých dotáciách a údaje o nákladoch a výnosoch podnikateľskej činnosti záverečný účet neobsahuje, pretože v danom období obec nebola zriaďovateľom žiadnej príspevkovej organizácie, neposkytla žiadne dotácie a ani nepodnikala. </w:t>
      </w:r>
    </w:p>
    <w:p>
      <w:pPr>
        <w:pStyle w:val="Normal"/>
        <w:spacing w:lineRule="auto" w: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Záverečný účet obsahuje údaje o finančnom usporiadaní vzťahov voči štátnemu rozpočtu. Všetky finančné prostriedky od poskytovateľov boli v plnom rozsahu použité na poskytnutý účel.</w:t>
      </w:r>
    </w:p>
    <w:p>
      <w:pPr>
        <w:pStyle w:val="Normal"/>
        <w:spacing w:lineRule="auto" w: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Obec v roku 202</w:t>
      </w:r>
      <w:r>
        <w:rPr>
          <w:rFonts w:ascii="Times New Roman" w:hAnsi="Times New Roman"/>
          <w:bCs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  netvorila programový rozpočet, preto tieto údaje nie sú jeho súčasťou.</w:t>
      </w:r>
    </w:p>
    <w:p>
      <w:pPr>
        <w:pStyle w:val="Normal"/>
        <w:spacing w:lineRule="auto" w: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8. ZÁVER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základe vlastného zhodnotenia konštatujem, že záverečný účet je spracovaný v súlade s príslušnými právnymi normami a objektívne vyjadruje rozpočtové hospodárenie, ako aj stav majetku a záväzkov obce Pečenice, a preto odporúčam schváliť návrh záverečného účtu tak, ako je predložený, schváliť celoročné hospodárenie obce bez výhrad a schváliť prevod prebytku rozpočtu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vo výške </w:t>
      </w:r>
      <w:r>
        <w:rPr>
          <w:rFonts w:ascii="Times New Roman" w:hAnsi="Times New Roman"/>
          <w:sz w:val="24"/>
          <w:szCs w:val="24"/>
        </w:rPr>
        <w:t xml:space="preserve">313,75 </w:t>
      </w:r>
      <w:r>
        <w:rPr>
          <w:rFonts w:ascii="Times New Roman" w:hAnsi="Times New Roman"/>
          <w:sz w:val="24"/>
          <w:szCs w:val="24"/>
        </w:rPr>
        <w:t>€ do rezervného fondu.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drawing>
          <wp:anchor distT="0" distB="0" distL="114300" distR="114300" simplePos="0" relativeHeight="2" behindDoc="0" locked="0" layoutInCell="0" allowOverlap="1">
            <wp:simplePos x="0" y="0"/>
            <wp:positionH relativeFrom="column">
              <wp:posOffset>4402455</wp:posOffset>
            </wp:positionH>
            <wp:positionV relativeFrom="paragraph">
              <wp:posOffset>83820</wp:posOffset>
            </wp:positionV>
            <wp:extent cx="1337945" cy="499745"/>
            <wp:effectExtent l="0" t="0" r="0" b="0"/>
            <wp:wrapThrough wrapText="bothSides">
              <wp:wrapPolygon edited="0">
                <wp:start x="-306" y="0"/>
                <wp:lineTo x="-306" y="20588"/>
                <wp:lineTo x="21529" y="20588"/>
                <wp:lineTo x="21529" y="0"/>
                <wp:lineTo x="-306" y="0"/>
              </wp:wrapPolygon>
            </wp:wrapThrough>
            <wp:docPr id="1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2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945" cy="49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Jabloňovciach </w:t>
      </w:r>
      <w:r>
        <w:rPr>
          <w:rFonts w:ascii="Times New Roman" w:hAnsi="Times New Roman"/>
          <w:sz w:val="24"/>
          <w:szCs w:val="24"/>
        </w:rPr>
        <w:t>09</w:t>
      </w:r>
      <w:r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6</w:t>
      </w:r>
    </w:p>
    <w:p>
      <w:pPr>
        <w:pStyle w:val="Normal"/>
        <w:spacing w:lineRule="auto" w:line="360" w:before="0" w:after="2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Abaffyová Denisa                                                                                hlavná kontrolórka   </w:t>
      </w:r>
    </w:p>
    <w:sectPr>
      <w:type w:val="nextPage"/>
      <w:pgSz w:w="11906" w:h="16838"/>
      <w:pgMar w:left="1417" w:right="1189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10df3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link w:val="BalloonText"/>
    <w:uiPriority w:val="99"/>
    <w:semiHidden/>
    <w:qFormat/>
    <w:rsid w:val="00a654ce"/>
    <w:rPr>
      <w:rFonts w:ascii="Tahoma" w:hAnsi="Tahoma" w:cs="Tahoma"/>
      <w:sz w:val="16"/>
      <w:szCs w:val="16"/>
      <w:lang w:eastAsia="en-US"/>
    </w:rPr>
  </w:style>
  <w:style w:type="character" w:styleId="HlavikaChar" w:customStyle="1">
    <w:name w:val="Hlavička Char"/>
    <w:basedOn w:val="DefaultParagraphFont"/>
    <w:link w:val="Header"/>
    <w:uiPriority w:val="99"/>
    <w:semiHidden/>
    <w:qFormat/>
    <w:rsid w:val="00c724da"/>
    <w:rPr>
      <w:sz w:val="22"/>
      <w:szCs w:val="22"/>
      <w:lang w:eastAsia="en-US"/>
    </w:rPr>
  </w:style>
  <w:style w:type="character" w:styleId="PtaChar" w:customStyle="1">
    <w:name w:val="Päta Char"/>
    <w:basedOn w:val="DefaultParagraphFont"/>
    <w:link w:val="Footer"/>
    <w:uiPriority w:val="99"/>
    <w:semiHidden/>
    <w:qFormat/>
    <w:rsid w:val="00c724da"/>
    <w:rPr>
      <w:sz w:val="22"/>
      <w:szCs w:val="22"/>
      <w:lang w:eastAsia="en-US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654ce"/>
    <w:pPr>
      <w:spacing w:lineRule="auto" w:line="240" w:before="0" w:after="0"/>
    </w:pPr>
    <w:rPr>
      <w:rFonts w:ascii="Tahoma" w:hAnsi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lavikaChar"/>
    <w:uiPriority w:val="99"/>
    <w:semiHidden/>
    <w:unhideWhenUsed/>
    <w:rsid w:val="00c724d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taChar"/>
    <w:uiPriority w:val="99"/>
    <w:semiHidden/>
    <w:unhideWhenUsed/>
    <w:rsid w:val="00c724d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Application>LibreOffice/25.8.6.2$Windows_X86_64 LibreOffice_project/b4b39682cd9868fa725bc664aff94278d315bd04</Application>
  <AppVersion>15.0000</AppVersion>
  <Pages>5</Pages>
  <Words>1120</Words>
  <Characters>6387</Characters>
  <CharactersWithSpaces>7465</CharactersWithSpaces>
  <Paragraphs>123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2024-06-04T10:30:00Z</dcterms:created>
  <dc:creator>Deni</dc:creator>
  <dc:description/>
  <dc:language>sk-SK</dc:language>
  <cp:lastModifiedBy/>
  <cp:lastPrinted>2015-06-11T20:37:00Z</cp:lastPrinted>
  <dcterms:modified xsi:type="dcterms:W3CDTF">2026-06-09T23:30:56Z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